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B7" w:rsidRDefault="007B0BE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36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Kőbányai Zenei Stúdió</w:t>
      </w:r>
      <w:r w:rsidR="00AB6A22">
        <w:rPr>
          <w:rFonts w:ascii="Cambria" w:eastAsia="Cambria" w:hAnsi="Cambria" w:cs="Cambria"/>
          <w:color w:val="000000"/>
          <w:sz w:val="28"/>
          <w:szCs w:val="28"/>
        </w:rPr>
        <w:t xml:space="preserve"> Művészeti Szakképző Iskola 2018-2019</w:t>
      </w:r>
      <w:r>
        <w:rPr>
          <w:rFonts w:ascii="Cambria" w:eastAsia="Cambria" w:hAnsi="Cambria" w:cs="Cambria"/>
          <w:color w:val="000000"/>
          <w:sz w:val="28"/>
          <w:szCs w:val="28"/>
        </w:rPr>
        <w:t>. tanévi munkaterve</w:t>
      </w:r>
    </w:p>
    <w:p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Bevezetés, helyzetelemzés</w:t>
      </w:r>
    </w:p>
    <w:p w:rsidR="008776B7" w:rsidRDefault="00AB6A22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Előző tanévben ünnepeltük iskolánk hivatalos fennállásának 20. évfordulóját.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munka 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már 1995-ben elkezdődött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1997-ben lett akkreditálva iskolánk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Büszkék vagyunk rá, hogy azóta milyen sok képzett zenész hagyta el intézményünk falait.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Iskolánk oktatási színvonalát mutatja, hogy a különböző tehetségkutatókon részt vett és helyezést elérő személyek, a mi iskolánkban fejlesztik tovább tudásukat.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Tanítványaink közül sokakat 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láthatunk a nagy és kisebb könnyűzenei színpadokon. Nincs olyan zenei fesztivál, ahol ne lépnének fel régi és mostani diákjaink. Pl. Művészetek Völgye. 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 mindegyik tanulónkból válik profi zenész, és 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sokan "polgári" foglalkozást válasz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tanak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uknak, de utóbbiak is </w:t>
      </w:r>
      <w:proofErr w:type="spellStart"/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megőrzik</w:t>
      </w:r>
      <w:proofErr w:type="spellEnd"/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zene szeret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etét, és amatőr szinten folytatj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ák a zenélést.</w:t>
      </w:r>
    </w:p>
    <w:p w:rsidR="008776B7" w:rsidRDefault="00E07B9A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Intézményünk 2018-2019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tanévre szóló munkatervét ebben a tanévben is a közoktatásra és szakképzésre vonatkozó jogszabályok, rendeletek figyelembe vételévei tervezi meg.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feladatot nehezíti, hogy iskolánk speciális adottságait, a művészeti-zenei oktatást kell összeegyeztetni a fent említett dokumentumokkal. Ez nem könnyű, többek között ezért is kell részletezni az adott tanév feladatait, a végrehajtás ütemét, a határidőket, s meghatározni egy-egy feladat felelősét.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Köznevelés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i és Szakképzési törvény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módosítása – melynek lényege, hogy a középiskolában az eddigi 21 helyett 25 éves korig tanulhatnak a tanulók nappali tagozaton, illetve, hogy sikeres szakvizsga után ún. ráépülés szakon folytathatják tanulmányaikat – továbbra is kedvezően hat az intézményünkbe jelentkezők számára.</w:t>
      </w:r>
    </w:p>
    <w:p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Tárgyi, személyi feltételek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Összesen 52 új tanuló nye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rt felvételt az első évfolyamra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pedig jelezte, hogy nem folytatja 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tanulmányait. Ráépülés szakra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főt vettünk fel. Összes tanulói létszámunk: 1</w:t>
      </w:r>
      <w:r w:rsidR="007C3B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 tanév főbb célkitűzései, feladatai</w:t>
      </w:r>
      <w:bookmarkStart w:id="1" w:name="_GoBack"/>
      <w:bookmarkEnd w:id="1"/>
    </w:p>
    <w:p w:rsidR="008776B7" w:rsidRDefault="00F95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ráépülés osztályainak oktatása.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Továbbra is az a cél, hogy a gyakorlati oktatásra helyezzük a hangsúlyt, hogy diákjaink minél több időt tölthessenek a zenéléssel, és minél több szakmai tapasztalatot sajátíthassanak el.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Továbbra is érvényben van az a változtatás, amelyik immár mindegyik tanszakunkat érinti, hogy egy diák több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főtárgy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tanártól tanulhasson, és minél többféle zenekari gyakorlaton vegyen részt.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Célunk, hogy tanítás zavartalanul folyjék, s hogy a tanév végén diákjaink minél sikeresebben teljesítsenek, illetve végzőseink a szakmai vizsgákon a szokásos, kiváló színvonalon vizsgázzanak.</w:t>
      </w:r>
    </w:p>
    <w:p w:rsidR="008776B7" w:rsidRDefault="00D17E9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 2018-2019</w:t>
      </w:r>
      <w:r w:rsidR="007B0BE3">
        <w:rPr>
          <w:rFonts w:ascii="Cambria" w:eastAsia="Cambria" w:hAnsi="Cambria" w:cs="Cambria"/>
          <w:b/>
          <w:color w:val="000000"/>
          <w:sz w:val="28"/>
          <w:szCs w:val="28"/>
        </w:rPr>
        <w:t>. tanév feladatainak végrehajtása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iskolave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>zetés az előző évhez képest kibővítve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folytatja munkáját. A vezetők személy szerinti feladatkörét az SZMSZ 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>tartalmazza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3D2" w:rsidRDefault="008B63D2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Négy fő jelentkezett Pedagógus Minősítésre, Pedagógus II. fokozat elérésére.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Mindnyájuk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jelentkezését elfogadta az Oktatási Hivatal. Remélem sikeresen veszik az akadályt a kollégák.</w:t>
      </w:r>
    </w:p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Intézményi Tanács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Köznevelésről szóló cxc. törvény rendelkezése alapján működtetjük az Intézményi Tanácsot. 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Tagjai: igazgató, ügyvezető igazgató, szakmai igazgatóhelyettesek, a Diákönkormányzat elnöke, a fenntartó MZTSZ képviselője. 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Intézményi Tanács véleményt nyilváníthat az iskola működésével kapcsolatos valamennyi kérdésben. Ki kell kérni az I.T. véleményét a pedagógiai program, az MSZM, a Házirend, a munkaterv elfogadása előtt. Összehívását bármelyik oldal kezdeményezheti, de a fent említett dokumentumok elfogadása előtt kötelező összehívni. </w:t>
      </w:r>
    </w:p>
    <w:tbl>
      <w:tblPr>
        <w:tblStyle w:val="a"/>
        <w:tblW w:w="458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2523"/>
        <w:gridCol w:w="1083"/>
      </w:tblGrid>
      <w:tr w:rsidR="008776B7">
        <w:trPr>
          <w:jc w:val="center"/>
        </w:trPr>
        <w:tc>
          <w:tcPr>
            <w:tcW w:w="9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108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>
        <w:trPr>
          <w:jc w:val="center"/>
        </w:trPr>
        <w:tc>
          <w:tcPr>
            <w:tcW w:w="976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08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</w:tbl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Az iskolavezetés legfontosabb feladatai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Tanulói nyilvántartások, tanulói létszámok, tanári óraszámok folyamatos vezetése, korrigálása ellenőrzése, fenntartónak adatszolgáltatás</w:t>
      </w:r>
    </w:p>
    <w:tbl>
      <w:tblPr>
        <w:tblStyle w:val="a0"/>
        <w:tblW w:w="520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009"/>
        <w:gridCol w:w="2076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00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Orsolya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00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076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Tanulói csoportbeosztások, tantárgyfelosztás, órarend, terembeosztások elkészítése, módosítása</w:t>
      </w:r>
    </w:p>
    <w:tbl>
      <w:tblPr>
        <w:tblStyle w:val="a1"/>
        <w:tblW w:w="69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483"/>
        <w:gridCol w:w="3369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48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336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Timár Ákos Domonkos</w:t>
            </w:r>
          </w:p>
        </w:tc>
        <w:tc>
          <w:tcPr>
            <w:tcW w:w="336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stúdiótechnika elmélet-gyakorlat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483" w:type="dxa"/>
          </w:tcPr>
          <w:p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14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gyakorlatok tartalmi fejlesztésének irányítása, zenekari csoportok összeállítása, nyilvántartása, repertoárok egyeztetése</w:t>
      </w:r>
    </w:p>
    <w:tbl>
      <w:tblPr>
        <w:tblStyle w:val="a2"/>
        <w:tblW w:w="619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995"/>
        <w:gridCol w:w="2076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995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Szakmai igazgatóhelyettesek</w:t>
            </w:r>
          </w:p>
        </w:tc>
        <w:tc>
          <w:tcPr>
            <w:tcW w:w="2076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076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995" w:type="dxa"/>
          </w:tcPr>
          <w:p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14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 alapdokumentumainak, szakmai programjainak folyamatos figyelemmel kísérése, szükség szerint kiegészítése az SZMSZ felülvizsgálata, vizsgaszabályzat, a felvételi vizsgaszabályzat szükséges módosítása, a tanmenetek elkészítésének irányítása</w:t>
      </w:r>
    </w:p>
    <w:tbl>
      <w:tblPr>
        <w:tblStyle w:val="a3"/>
        <w:tblW w:w="641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3700"/>
        <w:gridCol w:w="1588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700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158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58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588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5288" w:type="dxa"/>
            <w:gridSpan w:val="2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folyamatos, a tanmenetek elkészítése szeptember</w:t>
            </w:r>
            <w:r w:rsidR="00F9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Létszámok egyeztetése, létszám-, illetve változásjelentések elkészítése.</w:t>
      </w:r>
    </w:p>
    <w:tbl>
      <w:tblPr>
        <w:tblStyle w:val="a4"/>
        <w:tblW w:w="5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4502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502" w:type="dxa"/>
          </w:tcPr>
          <w:p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augusztus 31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illetve havonta folyamatosan</w:t>
            </w: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Óralátogatás, tantárgy tanulása alóli kérvények elbírálása, engedélyek kiadása.</w:t>
      </w:r>
    </w:p>
    <w:tbl>
      <w:tblPr>
        <w:tblStyle w:val="a5"/>
        <w:tblW w:w="46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523"/>
        <w:gridCol w:w="1029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029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02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3552" w:type="dxa"/>
            <w:gridSpan w:val="2"/>
          </w:tcPr>
          <w:p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10, illetve február 15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Tandíjfizetésre kötelezettek kimutatása, részletfizetésre benyújtott kérelmek elbírálása, tandíjak befizetésének nyilvántartása.</w:t>
      </w:r>
    </w:p>
    <w:tbl>
      <w:tblPr>
        <w:tblStyle w:val="a6"/>
        <w:tblW w:w="530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103"/>
        <w:gridCol w:w="2076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10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Orsolya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103" w:type="dxa"/>
          </w:tcPr>
          <w:p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14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beiskolázás, felvételi vizsgák rendjének meghatározása, bejelentése, felhívásának közzététele, nyílt napok szervezése</w:t>
      </w:r>
    </w:p>
    <w:tbl>
      <w:tblPr>
        <w:tblStyle w:val="a7"/>
        <w:tblW w:w="75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3145"/>
        <w:gridCol w:w="3249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145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324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Orsolya</w:t>
            </w:r>
          </w:p>
        </w:tc>
        <w:tc>
          <w:tcPr>
            <w:tcW w:w="324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6394" w:type="dxa"/>
            <w:gridSpan w:val="2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felvételi tájékozt</w:t>
            </w:r>
            <w:r w:rsidR="00F9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ató nyilvánosságra hozatala 2018. november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Félévi, év végi vizsgák szervezése, közreműködés a szakvizsgák szervezésében, lebonyolításában, vizsgatételek kidolgozása</w:t>
      </w:r>
    </w:p>
    <w:tbl>
      <w:tblPr>
        <w:tblStyle w:val="a8"/>
        <w:tblW w:w="621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718"/>
        <w:gridCol w:w="2378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71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37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Orsolya</w:t>
            </w:r>
          </w:p>
        </w:tc>
        <w:tc>
          <w:tcPr>
            <w:tcW w:w="237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Timár Ákos Domonkos</w:t>
            </w:r>
          </w:p>
        </w:tc>
        <w:tc>
          <w:tcPr>
            <w:tcW w:w="237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stúdiótechnika elmélet-gyakorlat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718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B7" w:rsidRDefault="007B0BE3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Szakvizsgák szervezeti és tartalmi előkészítése, a követelmények, tételek kidolgozása, illetve a szakvizsgák lebonyolítása</w:t>
      </w:r>
    </w:p>
    <w:tbl>
      <w:tblPr>
        <w:tblStyle w:val="a9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523"/>
        <w:gridCol w:w="2463"/>
      </w:tblGrid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46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46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46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Orsolya</w:t>
            </w:r>
          </w:p>
        </w:tc>
        <w:tc>
          <w:tcPr>
            <w:tcW w:w="246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Fekete Krisztina</w:t>
            </w:r>
          </w:p>
        </w:tc>
        <w:tc>
          <w:tcPr>
            <w:tcW w:w="246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vizsgabizottsági jegyző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463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523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463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Jelentkezési határidő:</w:t>
            </w:r>
          </w:p>
        </w:tc>
        <w:tc>
          <w:tcPr>
            <w:tcW w:w="2523" w:type="dxa"/>
          </w:tcPr>
          <w:p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január 14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Iskolai közzétételi lista feladatának folyamatos ellátása, internet, hírportál frissítése, tájékoztató anyagok készítése 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közzétételi lista kötelező adatai: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pedagógusok iskolai végzettsége, hozzárendelve a tantárgyfelosztáshoz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az intézmény lemorzsolódási adatainak közlése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szakképesítést szerzett tanulók pályakövetési eredményei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az iskolai tanév helyi rendje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az egyes évfolyamok tanulói létszáma hangszeres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szakonként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a"/>
        <w:tblW w:w="572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523"/>
        <w:gridCol w:w="2076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Eton</w:t>
            </w:r>
          </w:p>
        </w:tc>
        <w:tc>
          <w:tcPr>
            <w:tcW w:w="2076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599" w:type="dxa"/>
            <w:gridSpan w:val="2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Diákönkormányzat vezetőségének újjáválasztása, a szervezetek működésének folyamatos segítése és az együttműködés formájának és tartalmának meghatározása, diákgyűlések összehívása, rendezvények szervezése</w:t>
      </w:r>
    </w:p>
    <w:tbl>
      <w:tblPr>
        <w:tblStyle w:val="ab"/>
        <w:tblW w:w="652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4840"/>
        <w:gridCol w:w="561"/>
      </w:tblGrid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4840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Tímár Domonkos</w:t>
            </w:r>
          </w:p>
        </w:tc>
        <w:tc>
          <w:tcPr>
            <w:tcW w:w="561" w:type="dxa"/>
          </w:tcPr>
          <w:p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1123" w:type="dxa"/>
          </w:tcPr>
          <w:p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5401" w:type="dxa"/>
            <w:gridSpan w:val="2"/>
          </w:tcPr>
          <w:p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10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illetve folyamatos (munkaterv szerint)</w:t>
            </w:r>
          </w:p>
        </w:tc>
      </w:tr>
    </w:tbl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Iskolai, tanszaki éves munkatervek, félévi, év végi értékelések, beszámolók készítése</w:t>
      </w:r>
    </w:p>
    <w:tbl>
      <w:tblPr>
        <w:tblStyle w:val="ac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3072"/>
        <w:gridCol w:w="1914"/>
      </w:tblGrid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072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914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1914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Szakmai igazgatóhelyettesek</w:t>
            </w:r>
          </w:p>
        </w:tc>
        <w:tc>
          <w:tcPr>
            <w:tcW w:w="1914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914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:rsidR="008776B7" w:rsidRDefault="00F95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21, január18, illetve június 7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Ellenőrzési terv</w:t>
      </w:r>
    </w:p>
    <w:p w:rsidR="008776B7" w:rsidRDefault="008776B7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9CE" w:rsidRDefault="007B0BE3" w:rsidP="00EA59C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Iskolánkban az idén Tanfelügyeleti Ellenőrzés is lesz,</w:t>
      </w:r>
      <w:r w:rsidR="00EA5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mind vezetői, mind intézményi.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ellenőrzés tartalmi és szervezeti kérdéseit a Pedagógiai Program és az SZMSZ alapján a tanévre szóló munkaterv határozza meg. Az ellenőrzésben minden vezető és tanszakvezető részt vesz.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ellenőrzés főbb szempontjai: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tanítási órák tervezése, vezetése a tanítási órák felépítése 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módszerek alkalmazása, szemléltetés, értékelés, osztályozás </w:t>
      </w:r>
    </w:p>
    <w:p w:rsidR="008776B7" w:rsidRPr="00EA59CE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tanulók tanórai felkészültsége. </w:t>
      </w:r>
    </w:p>
    <w:p w:rsidR="00EA59CE" w:rsidRDefault="00EA59CE" w:rsidP="00EA59C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Tanfelügyeleti látogatások, még a következő feladatokat róják ránk:</w:t>
      </w:r>
    </w:p>
    <w:p w:rsidR="00EA59CE" w:rsidRDefault="00EA59CE" w:rsidP="00EA59CE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Fejlesztési terv készítése</w:t>
      </w:r>
    </w:p>
    <w:p w:rsidR="00EA59CE" w:rsidRDefault="00EA59CE" w:rsidP="00EA59CE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Önértékelés készítése</w:t>
      </w:r>
    </w:p>
    <w:p w:rsidR="00EA59CE" w:rsidRPr="00EA59CE" w:rsidRDefault="000549A2" w:rsidP="00EA59CE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tervek megbeszélése</w:t>
      </w:r>
      <w:r w:rsidR="00EA5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Tanügyi ellenőrzések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Havonta ellenőrizzük a tanári naplókat, a pedagógusok óraszámait, a tanulói mulasztásokat.</w:t>
      </w:r>
    </w:p>
    <w:tbl>
      <w:tblPr>
        <w:tblStyle w:val="ad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789"/>
        <w:gridCol w:w="2197"/>
      </w:tblGrid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ellenőrzést végzi:</w:t>
            </w:r>
          </w:p>
        </w:tc>
        <w:tc>
          <w:tcPr>
            <w:tcW w:w="27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197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Mantuano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Orsolya</w:t>
            </w:r>
          </w:p>
        </w:tc>
        <w:tc>
          <w:tcPr>
            <w:tcW w:w="2197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Tanszaki (szakmai) munkaközösségek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Iskolánkban az alábbi tanszaki munkaközösségek működnek a tanévben:</w:t>
      </w:r>
    </w:p>
    <w:p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Gitár: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ifj. Tornóczky Ferenc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Basszusgitár: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Ullmann Ottó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Solti János</w:t>
      </w:r>
    </w:p>
    <w:p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Ének: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</w:p>
    <w:p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Zongora: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Fúvós: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Csiszár Péter</w:t>
      </w:r>
    </w:p>
    <w:p w:rsidR="008776B7" w:rsidRPr="000549A2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Elmélet: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</w:p>
    <w:p w:rsidR="000549A2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Zenekari gyakorlat: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Szakadáti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Mátyás</w:t>
      </w:r>
    </w:p>
    <w:p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 tanszakvezetők feladata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tanszaki programok, követelmények egyeztetése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értékelés, osztályozás egységes szemléletének kialakítása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hangszeres, illetve tantárgyi kultúra fejlesztése, tapasztalatcserék, bemutatók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szakvizsga követelmények, vizsgatételek karbantartása a szükséges korrekciók elvégzése</w:t>
      </w:r>
    </w:p>
    <w:p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félévi, év végi, valamint a felvételi vizsgák lebonyolítása a tanulmányi irodával egyeztetve</w:t>
      </w:r>
    </w:p>
    <w:tbl>
      <w:tblPr>
        <w:tblStyle w:val="ae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647"/>
        <w:gridCol w:w="2339"/>
      </w:tblGrid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647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33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33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folyamatos,</w:t>
            </w:r>
          </w:p>
        </w:tc>
      </w:tr>
      <w:tr w:rsidR="008776B7">
        <w:trPr>
          <w:jc w:val="center"/>
        </w:trPr>
        <w:tc>
          <w:tcPr>
            <w:tcW w:w="2289" w:type="dxa"/>
          </w:tcPr>
          <w:p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gridSpan w:val="2"/>
          </w:tcPr>
          <w:p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tanszaki</w:t>
            </w:r>
            <w:r w:rsidR="0005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munkaterv beadása szeptember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Tantestületi értekezletek</w:t>
      </w:r>
    </w:p>
    <w:p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Tanévnyitó értekezlet: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31.</w:t>
      </w:r>
    </w:p>
    <w:p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 értekezlet: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január 25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Tanév végi tantestületi 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értekezlet: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június 17-18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Zamárdi</w:t>
      </w:r>
    </w:p>
    <w:p w:rsidR="008776B7" w:rsidRDefault="00D6660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 tanév rendje 2018-2019</w:t>
      </w:r>
      <w:r w:rsidR="007B0BE3">
        <w:rPr>
          <w:rFonts w:ascii="Cambria" w:eastAsia="Cambria" w:hAnsi="Cambria" w:cs="Cambria"/>
          <w:b/>
          <w:color w:val="000000"/>
          <w:sz w:val="28"/>
          <w:szCs w:val="28"/>
        </w:rPr>
        <w:t>.</w:t>
      </w:r>
    </w:p>
    <w:p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Első tanítási nap: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2018. szeptember 03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A216B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Utolsó tanítási nap: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június 14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Őszi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2018. október 27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-november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Téli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2018. december 22 - január 6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Tavaszi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április18 -április 23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Félévi, év végi osztályozás, vizsgák rendje</w:t>
      </w:r>
    </w:p>
    <w:p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Félév: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Elméleti tan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tárgyakból jegyek lezárása: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január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vizsga: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január 21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Hangszeres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főt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árgyak</w:t>
      </w:r>
      <w:proofErr w:type="spellEnd"/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vizsgája: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21-25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 vége: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 tanúsítvá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nyok kiosztása: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február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Tanév vége: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évfolyam év végi jegyek</w:t>
      </w:r>
      <w:r w:rsidR="00A2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beírása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  <w:r w:rsidR="00A2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április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lyam utolsó tanítási napja: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május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évfolyam részére elméleti záróvizsgák vége: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9. május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right" w:pos="4962"/>
          <w:tab w:val="left" w:pos="5812"/>
        </w:tabs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és IV. évfolyam z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enekari és </w:t>
      </w:r>
      <w:proofErr w:type="spellStart"/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főtárgy</w:t>
      </w:r>
      <w:proofErr w:type="spellEnd"/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vizsgák: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május 6-10.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Írásbeli szakvizsga: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május 13-14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Gyakor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lati és szóbeli szakvizsga: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első, második hét (az eddigi tapasztalatok alapján)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right" w:pos="4962"/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– III. évfolyam elméleti tárgyak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év végi jegyek: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május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-ig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– III. évfolyam z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enekari és </w:t>
      </w:r>
      <w:proofErr w:type="spellStart"/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főtárgy</w:t>
      </w:r>
      <w:proofErr w:type="spellEnd"/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vizsgák: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2019. május 27 -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Javító és pótló vizsgák: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augusztus 26-27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Rendezvények</w:t>
      </w:r>
    </w:p>
    <w:p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félévi diákgyűlés: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szeptember 13.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fél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évi diákgyűlés: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február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Gólyabál: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október 17.</w:t>
      </w:r>
    </w:p>
    <w:p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Karácsony: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2018. december 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Szalagavató: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2019. március 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Gála koncert: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13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Nyíl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t nap felvételizők részére: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február 20-21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Felvételi vizsgák, szakvizsgára, ráépülésre jelentkezés, beiratkozás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2018. évi szakvizsg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ára jelentkezés határideje: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január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lvételi vizsgák időpontjai: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március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-22.</w:t>
      </w:r>
    </w:p>
    <w:p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Jelentkezési 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március 11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Pótfelvételi vizsgák: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augusztus 26-27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Jelentkezési 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augusztus 12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ratkozás az I. évfolyamra: 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május eleje</w:t>
      </w:r>
    </w:p>
    <w:p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tkezés ráépülés évfolyamra: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2019. május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Gólyatábor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július</w:t>
      </w:r>
    </w:p>
    <w:p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right" w:pos="52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munkatervet a tantestület 2018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31-én tartott értekezletén fogadta el.</w:t>
      </w:r>
    </w:p>
    <w:p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right" w:pos="52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Budapest, 2018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31.</w:t>
      </w:r>
    </w:p>
    <w:sectPr w:rsidR="008776B7">
      <w:headerReference w:type="default" r:id="rId7"/>
      <w:pgSz w:w="11907" w:h="16839"/>
      <w:pgMar w:top="1843" w:right="1440" w:bottom="993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BD" w:rsidRDefault="001262BD">
      <w:pPr>
        <w:spacing w:after="0" w:line="240" w:lineRule="auto"/>
      </w:pPr>
      <w:r>
        <w:separator/>
      </w:r>
    </w:p>
  </w:endnote>
  <w:endnote w:type="continuationSeparator" w:id="0">
    <w:p w:rsidR="001262BD" w:rsidRDefault="001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BD" w:rsidRDefault="001262BD">
      <w:pPr>
        <w:spacing w:after="0" w:line="240" w:lineRule="auto"/>
      </w:pPr>
      <w:r>
        <w:separator/>
      </w:r>
    </w:p>
  </w:footnote>
  <w:footnote w:type="continuationSeparator" w:id="0">
    <w:p w:rsidR="001262BD" w:rsidRDefault="0012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B7" w:rsidRDefault="007B0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-914399</wp:posOffset>
          </wp:positionH>
          <wp:positionV relativeFrom="paragraph">
            <wp:posOffset>0</wp:posOffset>
          </wp:positionV>
          <wp:extent cx="7614000" cy="11664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0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3BD"/>
    <w:multiLevelType w:val="hybridMultilevel"/>
    <w:tmpl w:val="BF1ACE8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FC7059"/>
    <w:multiLevelType w:val="multilevel"/>
    <w:tmpl w:val="C5B42D0A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805D4B"/>
    <w:multiLevelType w:val="multilevel"/>
    <w:tmpl w:val="B7FE2F1A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upperLetter"/>
      <w:lvlText w:val="%3"/>
      <w:lvlJc w:val="left"/>
      <w:pPr>
        <w:ind w:left="1080" w:hanging="360"/>
      </w:pPr>
    </w:lvl>
    <w:lvl w:ilvl="3">
      <w:start w:val="1"/>
      <w:numFmt w:val="lowerRoman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297B05"/>
    <w:multiLevelType w:val="hybridMultilevel"/>
    <w:tmpl w:val="6CD0F162"/>
    <w:lvl w:ilvl="0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6FBE13C3"/>
    <w:multiLevelType w:val="hybridMultilevel"/>
    <w:tmpl w:val="B956BE1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B7"/>
    <w:rsid w:val="000549A2"/>
    <w:rsid w:val="001262BD"/>
    <w:rsid w:val="00402092"/>
    <w:rsid w:val="004A366E"/>
    <w:rsid w:val="00610723"/>
    <w:rsid w:val="00622179"/>
    <w:rsid w:val="007B0BE3"/>
    <w:rsid w:val="007C3B54"/>
    <w:rsid w:val="007C50DE"/>
    <w:rsid w:val="008776B7"/>
    <w:rsid w:val="008B63D2"/>
    <w:rsid w:val="00A216B3"/>
    <w:rsid w:val="00AB6A22"/>
    <w:rsid w:val="00D17E9D"/>
    <w:rsid w:val="00D66606"/>
    <w:rsid w:val="00E07B9A"/>
    <w:rsid w:val="00EA59CE"/>
    <w:rsid w:val="00F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2CF"/>
  <w15:docId w15:val="{78746740-798C-43EC-A8C1-0EEED91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msor4">
    <w:name w:val="heading 4"/>
    <w:basedOn w:val="Norml"/>
    <w:next w:val="Norm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Cmsor5">
    <w:name w:val="heading 5"/>
    <w:basedOn w:val="Norml"/>
    <w:next w:val="Norm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Cmsor6">
    <w:name w:val="heading 6"/>
    <w:basedOn w:val="Norml"/>
    <w:next w:val="Norm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Alcm">
    <w:name w:val="Subtitle"/>
    <w:basedOn w:val="Norml"/>
    <w:next w:val="Norm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0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1397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Falvay@sulid.hu</cp:lastModifiedBy>
  <cp:revision>6</cp:revision>
  <dcterms:created xsi:type="dcterms:W3CDTF">2018-08-27T10:46:00Z</dcterms:created>
  <dcterms:modified xsi:type="dcterms:W3CDTF">2018-08-30T11:10:00Z</dcterms:modified>
</cp:coreProperties>
</file>